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B11302B" w:rsidR="00192FEB" w:rsidRDefault="00AA70F6" w:rsidP="00192FEB">
      <w:pPr>
        <w:pStyle w:val="Documentnumber"/>
      </w:pPr>
      <w:r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55FFC792" w:rsidR="00D74AE1" w:rsidRPr="004259CB" w:rsidRDefault="00496E8D" w:rsidP="00E270C5">
      <w:pPr>
        <w:pStyle w:val="Documentname"/>
      </w:pPr>
      <w:r w:rsidRPr="004259CB">
        <w:t>Aids to Navigation</w:t>
      </w:r>
      <w:r w:rsidR="00EC4025" w:rsidRPr="004259CB">
        <w:t xml:space="preserve"> Planning &amp;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757F9E">
          <w:rPr>
            <w:webHidden/>
          </w:rPr>
          <w:t>3</w:t>
        </w:r>
        <w:r w:rsidR="00757F9E">
          <w:rPr>
            <w:webHidden/>
          </w:rPr>
          <w:fldChar w:fldCharType="end"/>
        </w:r>
      </w:hyperlink>
    </w:p>
    <w:p w14:paraId="5A57CA93" w14:textId="77777777" w:rsidR="00757F9E" w:rsidRDefault="00543EF8">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757F9E">
          <w:rPr>
            <w:webHidden/>
          </w:rPr>
          <w:t>3</w:t>
        </w:r>
        <w:r w:rsidR="00757F9E">
          <w:rPr>
            <w:webHidden/>
          </w:rPr>
          <w:fldChar w:fldCharType="end"/>
        </w:r>
      </w:hyperlink>
    </w:p>
    <w:p w14:paraId="75034B08" w14:textId="77777777" w:rsidR="00757F9E" w:rsidRDefault="00543EF8">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757F9E">
          <w:rPr>
            <w:webHidden/>
          </w:rPr>
          <w:t>3</w:t>
        </w:r>
        <w:r w:rsidR="00757F9E">
          <w:rPr>
            <w:webHidden/>
          </w:rPr>
          <w:fldChar w:fldCharType="end"/>
        </w:r>
      </w:hyperlink>
    </w:p>
    <w:p w14:paraId="1A6265BF" w14:textId="77777777" w:rsidR="00757F9E" w:rsidRDefault="00543EF8">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757F9E">
          <w:rPr>
            <w:webHidden/>
          </w:rPr>
          <w:t>3</w:t>
        </w:r>
        <w:r w:rsidR="00757F9E">
          <w:rPr>
            <w:webHidden/>
          </w:rPr>
          <w:fldChar w:fldCharType="end"/>
        </w:r>
      </w:hyperlink>
    </w:p>
    <w:p w14:paraId="4BE62355" w14:textId="77777777" w:rsidR="00757F9E" w:rsidRDefault="00543EF8">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757F9E">
          <w:rPr>
            <w:webHidden/>
          </w:rPr>
          <w:t>4</w:t>
        </w:r>
        <w:r w:rsidR="00757F9E">
          <w:rPr>
            <w:webHidden/>
          </w:rPr>
          <w:fldChar w:fldCharType="end"/>
        </w:r>
      </w:hyperlink>
    </w:p>
    <w:p w14:paraId="56E650A4" w14:textId="77777777" w:rsidR="00757F9E" w:rsidRDefault="00543EF8">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757F9E">
          <w:rPr>
            <w:webHidden/>
          </w:rPr>
          <w:t>4</w:t>
        </w:r>
        <w:r w:rsidR="00757F9E">
          <w:rPr>
            <w:webHidden/>
          </w:rPr>
          <w:fldChar w:fldCharType="end"/>
        </w:r>
      </w:hyperlink>
    </w:p>
    <w:p w14:paraId="5CB07878" w14:textId="77777777" w:rsidR="00757F9E" w:rsidRDefault="00543EF8">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757F9E">
          <w:rPr>
            <w:webHidden/>
          </w:rPr>
          <w:t>5</w:t>
        </w:r>
        <w:r w:rsidR="00757F9E">
          <w:rPr>
            <w:webHidden/>
          </w:rPr>
          <w:fldChar w:fldCharType="end"/>
        </w:r>
      </w:hyperlink>
    </w:p>
    <w:p w14:paraId="790A8C13" w14:textId="77777777" w:rsidR="00757F9E" w:rsidRDefault="00543EF8">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757F9E">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Default="004259CB" w:rsidP="004259CB">
      <w:pPr>
        <w:rPr>
          <w:lang w:val="en-GB"/>
        </w:rPr>
      </w:pPr>
    </w:p>
    <w:p w14:paraId="641DB9E0" w14:textId="77777777" w:rsidR="00335806" w:rsidRPr="00335806" w:rsidRDefault="00335806" w:rsidP="00335806">
      <w:pPr>
        <w:autoSpaceDE w:val="0"/>
        <w:autoSpaceDN w:val="0"/>
        <w:adjustRightInd w:val="0"/>
        <w:spacing w:line="240" w:lineRule="auto"/>
        <w:rPr>
          <w:rFonts w:ascii="Tahoma" w:hAnsi="Tahoma" w:cs="Tahoma"/>
          <w:color w:val="000000"/>
          <w:sz w:val="20"/>
          <w:szCs w:val="20"/>
          <w:highlight w:val="yellow"/>
          <w:lang w:val="en-GB"/>
        </w:rPr>
      </w:pPr>
      <w:r w:rsidRPr="00335806">
        <w:rPr>
          <w:rFonts w:ascii="Tahoma" w:hAnsi="Tahoma" w:cs="Tahoma"/>
          <w:color w:val="000000"/>
          <w:sz w:val="20"/>
          <w:szCs w:val="20"/>
          <w:highlight w:val="yellow"/>
          <w:lang w:val="en-GB"/>
        </w:rPr>
        <w:t xml:space="preserve">In previous documents on IALA structure there was reference to IALA Manuals and Model Courses.  Consider including here to provide a full overview of the document categories that IALA publishes.   </w:t>
      </w:r>
    </w:p>
    <w:p w14:paraId="6370B98A" w14:textId="77777777" w:rsidR="00335806" w:rsidRPr="00335806" w:rsidRDefault="00335806" w:rsidP="00335806">
      <w:pPr>
        <w:autoSpaceDE w:val="0"/>
        <w:autoSpaceDN w:val="0"/>
        <w:adjustRightInd w:val="0"/>
        <w:spacing w:line="240" w:lineRule="auto"/>
        <w:rPr>
          <w:rFonts w:ascii="Tahoma" w:hAnsi="Tahoma" w:cs="Tahoma"/>
          <w:color w:val="000000"/>
          <w:sz w:val="24"/>
          <w:szCs w:val="24"/>
          <w:highlight w:val="yellow"/>
          <w:lang w:val="en-GB"/>
        </w:rPr>
      </w:pPr>
      <w:r w:rsidRPr="00335806">
        <w:rPr>
          <w:rFonts w:ascii="Tahoma" w:hAnsi="Tahoma" w:cs="Tahoma"/>
          <w:b/>
          <w:bCs/>
          <w:color w:val="000000"/>
          <w:sz w:val="24"/>
          <w:szCs w:val="24"/>
          <w:highlight w:val="yellow"/>
          <w:u w:val="single"/>
          <w:lang w:val="en-GB"/>
        </w:rPr>
        <w:t>Manuals</w:t>
      </w:r>
      <w:r w:rsidRPr="00335806">
        <w:rPr>
          <w:rFonts w:ascii="Tahoma" w:hAnsi="Tahoma" w:cs="Tahoma"/>
          <w:color w:val="000000"/>
          <w:sz w:val="24"/>
          <w:szCs w:val="24"/>
          <w:highlight w:val="yellow"/>
          <w:lang w:val="en-GB"/>
        </w:rPr>
        <w:t xml:space="preserve">: IALA Manuals provide a broad overview of a large topic or identify specific elements for general use – for example, IALA NAVGUIDE; IALA VTS Manual; IALA Maritime Buoyage System and IALA Dictionary.  </w:t>
      </w:r>
    </w:p>
    <w:p w14:paraId="768AC3F0" w14:textId="77777777" w:rsidR="00335806" w:rsidRDefault="00335806" w:rsidP="00335806">
      <w:pPr>
        <w:autoSpaceDE w:val="0"/>
        <w:autoSpaceDN w:val="0"/>
        <w:adjustRightInd w:val="0"/>
        <w:spacing w:line="240" w:lineRule="auto"/>
        <w:rPr>
          <w:rFonts w:ascii="Tahoma" w:hAnsi="Tahoma" w:cs="Tahoma"/>
          <w:color w:val="000000"/>
          <w:sz w:val="24"/>
          <w:szCs w:val="24"/>
          <w:lang w:val="en-GB"/>
        </w:rPr>
      </w:pPr>
      <w:r w:rsidRPr="00335806">
        <w:rPr>
          <w:rFonts w:ascii="Tahoma" w:hAnsi="Tahoma" w:cs="Tahoma"/>
          <w:b/>
          <w:bCs/>
          <w:color w:val="000000"/>
          <w:sz w:val="24"/>
          <w:szCs w:val="24"/>
          <w:highlight w:val="yellow"/>
          <w:u w:val="single"/>
          <w:lang w:val="en-GB"/>
        </w:rPr>
        <w:t>Model Courses</w:t>
      </w:r>
      <w:r w:rsidRPr="00335806">
        <w:rPr>
          <w:rFonts w:ascii="Tahoma" w:hAnsi="Tahoma" w:cs="Tahoma"/>
          <w:color w:val="000000"/>
          <w:sz w:val="24"/>
          <w:szCs w:val="24"/>
          <w:highlight w:val="yellow"/>
          <w:lang w:val="en-GB"/>
        </w:rPr>
        <w:t>: IALA Model Courses provide guidance on the training of AtoN related personnel (VTS, AtoN Managers, AtoN Technicians)</w:t>
      </w:r>
    </w:p>
    <w:p w14:paraId="448BC21A" w14:textId="77777777" w:rsidR="00335806" w:rsidRDefault="00335806" w:rsidP="00335806">
      <w:pPr>
        <w:autoSpaceDE w:val="0"/>
        <w:autoSpaceDN w:val="0"/>
        <w:adjustRightInd w:val="0"/>
        <w:spacing w:line="240" w:lineRule="auto"/>
        <w:rPr>
          <w:rFonts w:ascii="Tahoma" w:hAnsi="Tahoma" w:cs="Tahoma"/>
          <w:sz w:val="20"/>
          <w:szCs w:val="20"/>
          <w:lang w:val="en-GB"/>
        </w:rPr>
      </w:pPr>
    </w:p>
    <w:p w14:paraId="306DCEEB" w14:textId="77777777" w:rsidR="00335806" w:rsidRDefault="00335806" w:rsidP="004259CB">
      <w:pPr>
        <w:rPr>
          <w:lang w:val="en-GB"/>
        </w:rPr>
      </w:pPr>
    </w:p>
    <w:p w14:paraId="7FA7CA22" w14:textId="77777777" w:rsidR="00335806" w:rsidRDefault="00335806" w:rsidP="004259CB">
      <w:pPr>
        <w:rPr>
          <w:lang w:val="en-GB"/>
        </w:rPr>
      </w:pPr>
    </w:p>
    <w:p w14:paraId="63028677" w14:textId="77777777" w:rsidR="00335806" w:rsidRPr="004259CB" w:rsidRDefault="00335806"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20EFCAA9" w14:textId="77777777" w:rsidR="004259CB" w:rsidRDefault="004259CB" w:rsidP="004259CB">
      <w:pPr>
        <w:pStyle w:val="BodyText"/>
      </w:pPr>
      <w:r w:rsidRPr="004259CB">
        <w:t xml:space="preserve">The IALA Strategic Vision for the period 2014-2026, adopted by the General Assembly in 2014, had two Goals, the first of which is to </w:t>
      </w:r>
    </w:p>
    <w:p w14:paraId="03F56C32" w14:textId="77777777" w:rsidR="00335806" w:rsidRDefault="00335806" w:rsidP="00335806">
      <w:pPr>
        <w:autoSpaceDE w:val="0"/>
        <w:autoSpaceDN w:val="0"/>
        <w:adjustRightInd w:val="0"/>
        <w:spacing w:line="240" w:lineRule="auto"/>
        <w:rPr>
          <w:rFonts w:ascii="Tahoma" w:hAnsi="Tahoma" w:cs="Tahoma"/>
          <w:sz w:val="20"/>
          <w:szCs w:val="20"/>
          <w:lang w:val="en-GB"/>
        </w:rPr>
      </w:pPr>
      <w:r w:rsidRPr="00335806">
        <w:rPr>
          <w:rFonts w:ascii="Tahoma" w:hAnsi="Tahoma" w:cs="Tahoma"/>
          <w:color w:val="000000"/>
          <w:sz w:val="20"/>
          <w:szCs w:val="20"/>
          <w:highlight w:val="yellow"/>
          <w:lang w:val="en-GB"/>
        </w:rPr>
        <w:t>Two goals are referenced, but only one stated.  Could revise to state 'One of the goals of the IALA Strategic Vision for ...'</w:t>
      </w:r>
    </w:p>
    <w:p w14:paraId="40A23949" w14:textId="77777777" w:rsidR="00335806" w:rsidRPr="004259CB" w:rsidRDefault="00335806" w:rsidP="004259CB">
      <w:pPr>
        <w:pStyle w:val="BodyText"/>
      </w:pP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4F71724B" w:rsidR="004259CB" w:rsidRDefault="004259CB" w:rsidP="004259CB">
      <w:pPr>
        <w:pStyle w:val="BodyText"/>
      </w:pPr>
      <w:r w:rsidRPr="004259CB">
        <w:t>IALA Standards are suitable for direct citation by States in the interest of an efficient and harmonised global network of aids to navigation and services.</w:t>
      </w:r>
      <w:r w:rsidR="00335806">
        <w:t xml:space="preserve">  </w:t>
      </w:r>
    </w:p>
    <w:p w14:paraId="3925D03F" w14:textId="77777777" w:rsidR="00335806" w:rsidRDefault="00335806" w:rsidP="00335806">
      <w:pPr>
        <w:autoSpaceDE w:val="0"/>
        <w:autoSpaceDN w:val="0"/>
        <w:adjustRightInd w:val="0"/>
        <w:spacing w:line="240" w:lineRule="auto"/>
        <w:rPr>
          <w:rFonts w:ascii="Tahoma" w:hAnsi="Tahoma" w:cs="Tahoma"/>
          <w:color w:val="000000"/>
          <w:sz w:val="20"/>
          <w:szCs w:val="20"/>
          <w:lang w:val="en-GB"/>
        </w:rPr>
      </w:pPr>
      <w:r w:rsidRPr="00335806">
        <w:rPr>
          <w:rFonts w:ascii="Tahoma" w:hAnsi="Tahoma" w:cs="Tahoma"/>
          <w:color w:val="000000"/>
          <w:sz w:val="20"/>
          <w:szCs w:val="20"/>
          <w:highlight w:val="yellow"/>
          <w:lang w:val="en-GB"/>
        </w:rPr>
        <w:t>Two goals are referenced, but only one stated.  Could revise to state 'One of the goals of the IALA Strategic Vision for ...'</w:t>
      </w:r>
    </w:p>
    <w:p w14:paraId="79446206" w14:textId="77777777" w:rsidR="00335806" w:rsidRPr="004259CB" w:rsidRDefault="00335806"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lastRenderedPageBreak/>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45239B2C" w14:textId="24FBB837" w:rsidR="004259CB" w:rsidRPr="004259CB" w:rsidRDefault="004259CB" w:rsidP="004259CB">
      <w:pPr>
        <w:pStyle w:val="Bullet1"/>
      </w:pPr>
      <w:r w:rsidRPr="004259CB">
        <w:t>Obligations and regulatory compliance</w:t>
      </w:r>
      <w:r w:rsidR="00366678">
        <w:t>;</w:t>
      </w:r>
    </w:p>
    <w:p w14:paraId="0204C70C" w14:textId="67D6CED9" w:rsidR="004259CB" w:rsidRPr="004259CB" w:rsidRDefault="004259CB" w:rsidP="004259CB">
      <w:pPr>
        <w:pStyle w:val="Bullet1"/>
      </w:pPr>
      <w:r w:rsidRPr="004259CB">
        <w:t>Aids to navigation planning (IALA Maritime Buoyage System, offshore signals, bridge signals, traffic signals, fairway design)</w:t>
      </w:r>
      <w:r w:rsidR="00366678">
        <w:t>;</w:t>
      </w:r>
    </w:p>
    <w:p w14:paraId="0C54C598" w14:textId="77777777" w:rsidR="004259CB" w:rsidRPr="004259CB" w:rsidRDefault="004259CB" w:rsidP="004259CB">
      <w:pPr>
        <w:pStyle w:val="Bullet1"/>
      </w:pPr>
      <w:r w:rsidRPr="004259CB">
        <w:t>Virtual marking</w:t>
      </w:r>
    </w:p>
    <w:p w14:paraId="2B2D0E79" w14:textId="36CA55DD" w:rsidR="004259CB" w:rsidRPr="004259CB" w:rsidRDefault="004259CB" w:rsidP="004259CB">
      <w:pPr>
        <w:pStyle w:val="Bullet1"/>
      </w:pPr>
      <w:r w:rsidRPr="004259CB">
        <w:t>Levels of service (Objectives, Availability and Categories)</w:t>
      </w:r>
      <w:r w:rsidR="00366678">
        <w:t>;</w:t>
      </w:r>
    </w:p>
    <w:p w14:paraId="7A90EF8B" w14:textId="0B4CE2DE" w:rsidR="004259CB" w:rsidRPr="004259CB" w:rsidRDefault="004259CB" w:rsidP="004259CB">
      <w:pPr>
        <w:pStyle w:val="Bullet1"/>
      </w:pPr>
      <w:r w:rsidRPr="004259CB">
        <w:t>Risk management</w:t>
      </w:r>
      <w:r w:rsidR="00366678">
        <w:t>;</w:t>
      </w:r>
    </w:p>
    <w:p w14:paraId="0597A8CD" w14:textId="7BBCC5DA" w:rsidR="004259CB" w:rsidRPr="00BE0675" w:rsidRDefault="004259CB" w:rsidP="004259CB">
      <w:pPr>
        <w:pStyle w:val="Bullet1"/>
      </w:pPr>
      <w:r w:rsidRPr="004259CB">
        <w:t>Quality Management</w:t>
      </w:r>
      <w:r w:rsidR="00366678">
        <w:t>.</w:t>
      </w: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77777777" w:rsidR="005B7365" w:rsidRDefault="005B7365" w:rsidP="005B7365">
      <w:pPr>
        <w:pStyle w:val="BodyText"/>
      </w:pPr>
      <w:bookmarkStart w:id="22" w:name="_Toc455589139"/>
      <w:bookmarkEnd w:id="22"/>
      <w:r w:rsidRPr="004259CB">
        <w:t xml:space="preserve">In this Standard the word ‘shall’ is used to </w:t>
      </w:r>
      <w:r>
        <w:t>indicate</w:t>
      </w:r>
      <w:r w:rsidRPr="004259CB">
        <w:t xml:space="preserve"> that a provision is Normative and so is to be followed in order to comply with the standard.  The word ‘should’ introduces Informative provisions.</w:t>
      </w:r>
    </w:p>
    <w:p w14:paraId="76C69427" w14:textId="3B2E9806" w:rsidR="00F87992" w:rsidRPr="004259CB" w:rsidRDefault="00F87992" w:rsidP="005B7365">
      <w:pPr>
        <w:pStyle w:val="BodyText"/>
      </w:pPr>
      <w:r w:rsidRPr="00F87992">
        <w:rPr>
          <w:rFonts w:ascii="Tahoma" w:hAnsi="Tahoma" w:cs="Tahoma"/>
          <w:color w:val="000000"/>
          <w:sz w:val="20"/>
          <w:szCs w:val="20"/>
          <w:highlight w:val="yellow"/>
        </w:rPr>
        <w:t>delete 'so'</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7D719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4259CB">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984" w:type="dxa"/>
          </w:tcPr>
          <w:p w14:paraId="4C99C8B0" w14:textId="77777777" w:rsidR="004259CB" w:rsidRPr="004259CB" w:rsidRDefault="004259CB" w:rsidP="00BA0EEF">
            <w:pPr>
              <w:spacing w:before="120" w:after="120"/>
              <w:rPr>
                <w:sz w:val="22"/>
                <w:lang w:val="en-GB"/>
              </w:rPr>
            </w:pPr>
          </w:p>
        </w:tc>
        <w:tc>
          <w:tcPr>
            <w:tcW w:w="6237" w:type="dxa"/>
          </w:tcPr>
          <w:p w14:paraId="42B4F8A1" w14:textId="77777777" w:rsidR="004259CB" w:rsidRPr="004259CB" w:rsidRDefault="004259CB" w:rsidP="00BA0EEF">
            <w:pPr>
              <w:spacing w:before="120" w:after="120"/>
              <w:rPr>
                <w:sz w:val="22"/>
                <w:lang w:val="en-GB"/>
              </w:rPr>
            </w:pPr>
            <w:r w:rsidRPr="004259CB">
              <w:rPr>
                <w:sz w:val="22"/>
                <w:lang w:val="en-GB"/>
              </w:rPr>
              <w:t>The IALA Maritime Buoyage System</w:t>
            </w:r>
            <w:r w:rsidRPr="004259CB" w:rsidDel="001914E0">
              <w:rPr>
                <w:sz w:val="22"/>
                <w:lang w:val="en-GB"/>
              </w:rPr>
              <w:t xml:space="preserve"> </w:t>
            </w:r>
          </w:p>
        </w:tc>
      </w:tr>
      <w:tr w:rsidR="004259CB" w:rsidRPr="004259CB" w14:paraId="32B9B492" w14:textId="77777777" w:rsidTr="004259CB">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984" w:type="dxa"/>
          </w:tcPr>
          <w:p w14:paraId="4D09AA55" w14:textId="77777777" w:rsidR="004259CB" w:rsidRPr="004259CB" w:rsidRDefault="004259CB" w:rsidP="00BA0EEF">
            <w:pPr>
              <w:spacing w:before="120" w:after="120"/>
              <w:rPr>
                <w:sz w:val="22"/>
                <w:lang w:val="en-GB"/>
              </w:rPr>
            </w:pPr>
            <w:r w:rsidRPr="004259CB">
              <w:rPr>
                <w:sz w:val="22"/>
                <w:lang w:val="en-GB"/>
              </w:rPr>
              <w:t>E-105</w:t>
            </w:r>
          </w:p>
        </w:tc>
        <w:tc>
          <w:tcPr>
            <w:tcW w:w="6237" w:type="dxa"/>
          </w:tcPr>
          <w:p w14:paraId="06D84AC9" w14:textId="77777777" w:rsidR="004259CB" w:rsidRPr="004259CB" w:rsidRDefault="004259CB" w:rsidP="00BA0EEF">
            <w:pPr>
              <w:spacing w:before="120" w:after="120"/>
              <w:rPr>
                <w:sz w:val="22"/>
                <w:lang w:val="en-GB"/>
              </w:rPr>
            </w:pPr>
            <w:r w:rsidRPr="004259CB">
              <w:rPr>
                <w:sz w:val="22"/>
                <w:lang w:val="en-GB"/>
              </w:rPr>
              <w:t>The Need to Follow National and International Standards</w:t>
            </w:r>
          </w:p>
        </w:tc>
      </w:tr>
      <w:tr w:rsidR="004259CB" w:rsidRPr="004259CB" w14:paraId="7F909ABF" w14:textId="77777777" w:rsidTr="004259CB">
        <w:trPr>
          <w:jc w:val="center"/>
        </w:trPr>
        <w:tc>
          <w:tcPr>
            <w:tcW w:w="2526" w:type="dxa"/>
            <w:vMerge w:val="restart"/>
          </w:tcPr>
          <w:p w14:paraId="058B01C3" w14:textId="77777777" w:rsidR="004259CB" w:rsidRDefault="004259CB" w:rsidP="00BA0EEF">
            <w:pPr>
              <w:spacing w:before="120" w:after="120"/>
              <w:rPr>
                <w:b/>
                <w:sz w:val="22"/>
                <w:lang w:val="en-GB"/>
              </w:rPr>
            </w:pPr>
            <w:r w:rsidRPr="004259CB">
              <w:rPr>
                <w:b/>
                <w:sz w:val="22"/>
                <w:lang w:val="en-GB"/>
              </w:rPr>
              <w:t>Aids to Navigation planning</w:t>
            </w:r>
          </w:p>
          <w:p w14:paraId="19511DAF" w14:textId="6D89BF95" w:rsidR="00F87992" w:rsidRPr="004259CB" w:rsidRDefault="00F87992" w:rsidP="00BA0EEF">
            <w:pPr>
              <w:spacing w:before="120" w:after="120"/>
              <w:rPr>
                <w:b/>
                <w:sz w:val="22"/>
                <w:lang w:val="en-GB"/>
              </w:rPr>
            </w:pPr>
            <w:r w:rsidRPr="00F87992">
              <w:rPr>
                <w:rFonts w:ascii="Tahoma" w:hAnsi="Tahoma" w:cs="Tahoma"/>
                <w:color w:val="000000"/>
                <w:sz w:val="20"/>
                <w:szCs w:val="20"/>
                <w:highlight w:val="yellow"/>
                <w:lang w:val="en-GB"/>
              </w:rPr>
              <w:t>include reference to A-123 (planning AIS shore station) and new VDES recommendation.</w:t>
            </w:r>
          </w:p>
        </w:tc>
        <w:tc>
          <w:tcPr>
            <w:tcW w:w="984" w:type="dxa"/>
          </w:tcPr>
          <w:p w14:paraId="57EC717A" w14:textId="77777777" w:rsidR="004259CB" w:rsidRPr="004259CB" w:rsidRDefault="004259CB" w:rsidP="00BA0EEF">
            <w:pPr>
              <w:spacing w:before="120" w:after="120"/>
              <w:rPr>
                <w:sz w:val="22"/>
                <w:lang w:val="en-GB"/>
              </w:rPr>
            </w:pPr>
            <w:r w:rsidRPr="004259CB">
              <w:rPr>
                <w:sz w:val="22"/>
                <w:lang w:val="en-GB"/>
              </w:rPr>
              <w:t>E-111</w:t>
            </w:r>
          </w:p>
        </w:tc>
        <w:tc>
          <w:tcPr>
            <w:tcW w:w="6237" w:type="dxa"/>
          </w:tcPr>
          <w:p w14:paraId="24CA4A49" w14:textId="77777777" w:rsidR="004259CB" w:rsidRPr="004259CB" w:rsidRDefault="004259CB" w:rsidP="00BA0EEF">
            <w:pPr>
              <w:spacing w:before="120" w:after="120"/>
              <w:rPr>
                <w:sz w:val="22"/>
                <w:lang w:val="en-GB"/>
              </w:rPr>
            </w:pPr>
            <w:r w:rsidRPr="004259CB">
              <w:rPr>
                <w:sz w:val="22"/>
                <w:lang w:val="en-GB"/>
              </w:rPr>
              <w:t>Port Traffic Signals</w:t>
            </w:r>
          </w:p>
        </w:tc>
      </w:tr>
      <w:tr w:rsidR="004259CB" w:rsidRPr="004259CB" w14:paraId="2CEAC023" w14:textId="77777777" w:rsidTr="004259CB">
        <w:trPr>
          <w:jc w:val="center"/>
        </w:trPr>
        <w:tc>
          <w:tcPr>
            <w:tcW w:w="2526" w:type="dxa"/>
            <w:vMerge/>
          </w:tcPr>
          <w:p w14:paraId="698D957C" w14:textId="77777777" w:rsidR="004259CB" w:rsidRPr="004259CB" w:rsidRDefault="004259CB" w:rsidP="00BA0EEF">
            <w:pPr>
              <w:spacing w:before="120" w:after="120"/>
              <w:rPr>
                <w:b/>
                <w:sz w:val="22"/>
                <w:lang w:val="en-GB"/>
              </w:rPr>
            </w:pPr>
          </w:p>
        </w:tc>
        <w:tc>
          <w:tcPr>
            <w:tcW w:w="984" w:type="dxa"/>
          </w:tcPr>
          <w:p w14:paraId="77AC98E0" w14:textId="77777777" w:rsidR="004259CB" w:rsidRPr="004259CB" w:rsidRDefault="004259CB" w:rsidP="00BA0EEF">
            <w:pPr>
              <w:spacing w:before="120" w:after="120"/>
              <w:rPr>
                <w:sz w:val="22"/>
                <w:lang w:val="en-GB"/>
              </w:rPr>
            </w:pPr>
            <w:r w:rsidRPr="004259CB">
              <w:rPr>
                <w:sz w:val="22"/>
                <w:lang w:val="en-GB"/>
              </w:rPr>
              <w:t>O-113</w:t>
            </w:r>
          </w:p>
        </w:tc>
        <w:tc>
          <w:tcPr>
            <w:tcW w:w="6237" w:type="dxa"/>
          </w:tcPr>
          <w:p w14:paraId="3371B99E" w14:textId="77777777" w:rsidR="004259CB" w:rsidRPr="004259CB" w:rsidRDefault="004259CB" w:rsidP="00BA0EEF">
            <w:pPr>
              <w:spacing w:before="120" w:after="120"/>
              <w:rPr>
                <w:sz w:val="22"/>
                <w:lang w:val="en-GB"/>
              </w:rPr>
            </w:pPr>
            <w:r w:rsidRPr="004259CB">
              <w:rPr>
                <w:sz w:val="22"/>
                <w:lang w:val="en-GB"/>
              </w:rPr>
              <w:t>The Marking of Fixed Bridges and Other Structures over Navigable Waters</w:t>
            </w:r>
          </w:p>
        </w:tc>
      </w:tr>
      <w:tr w:rsidR="004259CB" w:rsidRPr="004259CB" w14:paraId="748046AF" w14:textId="77777777" w:rsidTr="004259CB">
        <w:trPr>
          <w:jc w:val="center"/>
        </w:trPr>
        <w:tc>
          <w:tcPr>
            <w:tcW w:w="2526" w:type="dxa"/>
            <w:vMerge/>
          </w:tcPr>
          <w:p w14:paraId="44D9BB1B" w14:textId="77777777" w:rsidR="004259CB" w:rsidRPr="004259CB" w:rsidRDefault="004259CB" w:rsidP="00BA0EEF">
            <w:pPr>
              <w:spacing w:before="120" w:after="120"/>
              <w:rPr>
                <w:b/>
                <w:sz w:val="22"/>
                <w:lang w:val="en-GB"/>
              </w:rPr>
            </w:pPr>
          </w:p>
        </w:tc>
        <w:tc>
          <w:tcPr>
            <w:tcW w:w="984" w:type="dxa"/>
          </w:tcPr>
          <w:p w14:paraId="6FEBE415" w14:textId="77777777" w:rsidR="004259CB" w:rsidRPr="004259CB" w:rsidRDefault="004259CB" w:rsidP="00BA0EEF">
            <w:pPr>
              <w:spacing w:before="120" w:after="120"/>
              <w:rPr>
                <w:sz w:val="22"/>
                <w:lang w:val="en-GB"/>
              </w:rPr>
            </w:pPr>
            <w:r w:rsidRPr="004259CB">
              <w:rPr>
                <w:sz w:val="22"/>
                <w:lang w:val="en-GB"/>
              </w:rPr>
              <w:t>O-139</w:t>
            </w:r>
          </w:p>
        </w:tc>
        <w:tc>
          <w:tcPr>
            <w:tcW w:w="6237" w:type="dxa"/>
          </w:tcPr>
          <w:p w14:paraId="4799DB56" w14:textId="77777777" w:rsidR="004259CB" w:rsidRPr="004259CB" w:rsidRDefault="004259CB" w:rsidP="00BA0EEF">
            <w:pPr>
              <w:spacing w:before="120" w:after="120"/>
              <w:rPr>
                <w:sz w:val="22"/>
                <w:lang w:val="en-GB"/>
              </w:rPr>
            </w:pPr>
            <w:r w:rsidRPr="004259CB">
              <w:rPr>
                <w:sz w:val="22"/>
                <w:lang w:val="en-GB"/>
              </w:rPr>
              <w:t>The Marking of Man-Made Offshore Structures</w:t>
            </w:r>
          </w:p>
        </w:tc>
      </w:tr>
      <w:tr w:rsidR="004259CB" w:rsidRPr="004259CB" w14:paraId="6021FFED" w14:textId="77777777" w:rsidTr="004259CB">
        <w:trPr>
          <w:jc w:val="center"/>
        </w:trPr>
        <w:tc>
          <w:tcPr>
            <w:tcW w:w="2526" w:type="dxa"/>
          </w:tcPr>
          <w:p w14:paraId="78249C9C" w14:textId="77777777" w:rsidR="004259CB" w:rsidRPr="004259CB" w:rsidRDefault="004259CB" w:rsidP="00BA0EEF">
            <w:pPr>
              <w:spacing w:before="120" w:after="120"/>
              <w:rPr>
                <w:b/>
                <w:sz w:val="22"/>
                <w:lang w:val="en-GB"/>
              </w:rPr>
            </w:pPr>
            <w:r w:rsidRPr="004259CB">
              <w:rPr>
                <w:b/>
                <w:sz w:val="22"/>
                <w:lang w:val="en-GB"/>
              </w:rPr>
              <w:t>Levels of service</w:t>
            </w:r>
          </w:p>
        </w:tc>
        <w:tc>
          <w:tcPr>
            <w:tcW w:w="984" w:type="dxa"/>
          </w:tcPr>
          <w:p w14:paraId="2F990263" w14:textId="77777777" w:rsidR="004259CB" w:rsidRPr="004259CB" w:rsidRDefault="004259CB" w:rsidP="00BA0EEF">
            <w:pPr>
              <w:spacing w:before="120" w:after="120"/>
              <w:rPr>
                <w:sz w:val="22"/>
                <w:lang w:val="en-GB"/>
              </w:rPr>
            </w:pPr>
            <w:r w:rsidRPr="004259CB">
              <w:rPr>
                <w:sz w:val="22"/>
                <w:lang w:val="en-GB"/>
              </w:rPr>
              <w:t>O-130</w:t>
            </w:r>
          </w:p>
        </w:tc>
        <w:tc>
          <w:tcPr>
            <w:tcW w:w="6237" w:type="dxa"/>
          </w:tcPr>
          <w:p w14:paraId="1BFD513B" w14:textId="77777777" w:rsidR="004259CB" w:rsidRPr="004259CB" w:rsidRDefault="004259CB" w:rsidP="00BA0EEF">
            <w:pPr>
              <w:spacing w:before="120" w:after="120"/>
              <w:rPr>
                <w:sz w:val="22"/>
                <w:lang w:val="en-GB"/>
              </w:rPr>
            </w:pPr>
            <w:r w:rsidRPr="004259CB">
              <w:rPr>
                <w:sz w:val="22"/>
                <w:lang w:val="en-GB"/>
              </w:rPr>
              <w:t>Categorisation and Availability Objectives for Short Range Aids to Navigation</w:t>
            </w:r>
          </w:p>
        </w:tc>
      </w:tr>
      <w:tr w:rsidR="004259CB" w:rsidRPr="004259CB" w14:paraId="55A8777A" w14:textId="77777777" w:rsidTr="004259CB">
        <w:trPr>
          <w:jc w:val="center"/>
        </w:trPr>
        <w:tc>
          <w:tcPr>
            <w:tcW w:w="2526" w:type="dxa"/>
            <w:vMerge w:val="restart"/>
          </w:tcPr>
          <w:p w14:paraId="1364097B" w14:textId="77777777" w:rsidR="004259CB" w:rsidRPr="004259CB" w:rsidRDefault="004259CB" w:rsidP="00BA0EEF">
            <w:pPr>
              <w:spacing w:before="120" w:after="120"/>
              <w:rPr>
                <w:b/>
                <w:sz w:val="22"/>
                <w:lang w:val="en-GB"/>
              </w:rPr>
            </w:pPr>
            <w:r w:rsidRPr="004259CB">
              <w:rPr>
                <w:b/>
                <w:sz w:val="22"/>
                <w:lang w:val="en-GB"/>
              </w:rPr>
              <w:t>Quality Management</w:t>
            </w:r>
          </w:p>
        </w:tc>
        <w:tc>
          <w:tcPr>
            <w:tcW w:w="984" w:type="dxa"/>
          </w:tcPr>
          <w:p w14:paraId="7FCC7A1D" w14:textId="77777777" w:rsidR="004259CB" w:rsidRPr="004259CB" w:rsidRDefault="004259CB" w:rsidP="00BA0EEF">
            <w:pPr>
              <w:spacing w:before="120" w:after="120"/>
              <w:rPr>
                <w:sz w:val="22"/>
                <w:lang w:val="en-GB"/>
              </w:rPr>
            </w:pPr>
            <w:r w:rsidRPr="004259CB">
              <w:rPr>
                <w:sz w:val="22"/>
                <w:lang w:val="en-GB"/>
              </w:rPr>
              <w:t>O-132</w:t>
            </w:r>
          </w:p>
        </w:tc>
        <w:tc>
          <w:tcPr>
            <w:tcW w:w="6237" w:type="dxa"/>
          </w:tcPr>
          <w:p w14:paraId="6275A0D8" w14:textId="77777777" w:rsidR="004259CB" w:rsidRPr="004259CB" w:rsidRDefault="004259CB" w:rsidP="00BA0EEF">
            <w:pPr>
              <w:spacing w:before="120" w:after="120"/>
              <w:rPr>
                <w:sz w:val="22"/>
                <w:lang w:val="en-GB"/>
              </w:rPr>
            </w:pPr>
            <w:r w:rsidRPr="004259CB">
              <w:rPr>
                <w:sz w:val="22"/>
                <w:lang w:val="en-GB"/>
              </w:rPr>
              <w:t>Quality Management for Aids to Navigation Authorities</w:t>
            </w:r>
          </w:p>
        </w:tc>
      </w:tr>
      <w:tr w:rsidR="004259CB" w:rsidRPr="004259CB" w14:paraId="290A29B3" w14:textId="77777777" w:rsidTr="004259CB">
        <w:trPr>
          <w:jc w:val="center"/>
        </w:trPr>
        <w:tc>
          <w:tcPr>
            <w:tcW w:w="2526" w:type="dxa"/>
            <w:vMerge/>
          </w:tcPr>
          <w:p w14:paraId="3AFC6A92" w14:textId="77777777" w:rsidR="004259CB" w:rsidRPr="004259CB" w:rsidRDefault="004259CB" w:rsidP="00BA0EEF">
            <w:pPr>
              <w:spacing w:before="120" w:after="120"/>
              <w:rPr>
                <w:b/>
                <w:sz w:val="22"/>
                <w:lang w:val="en-GB"/>
              </w:rPr>
            </w:pPr>
          </w:p>
        </w:tc>
        <w:tc>
          <w:tcPr>
            <w:tcW w:w="984" w:type="dxa"/>
          </w:tcPr>
          <w:p w14:paraId="0091486C" w14:textId="77777777" w:rsidR="004259CB" w:rsidRPr="004259CB" w:rsidRDefault="004259CB" w:rsidP="00BA0EEF">
            <w:pPr>
              <w:spacing w:before="120" w:after="120"/>
              <w:rPr>
                <w:sz w:val="22"/>
                <w:lang w:val="en-GB"/>
              </w:rPr>
            </w:pPr>
            <w:r w:rsidRPr="004259CB">
              <w:rPr>
                <w:sz w:val="22"/>
                <w:lang w:val="en-GB"/>
              </w:rPr>
              <w:t>O-118</w:t>
            </w:r>
          </w:p>
        </w:tc>
        <w:tc>
          <w:tcPr>
            <w:tcW w:w="6237" w:type="dxa"/>
          </w:tcPr>
          <w:p w14:paraId="6094017E" w14:textId="77777777" w:rsidR="004259CB" w:rsidRPr="004259CB" w:rsidRDefault="004259CB" w:rsidP="00BA0EEF">
            <w:pPr>
              <w:spacing w:before="120" w:after="120"/>
              <w:rPr>
                <w:sz w:val="22"/>
                <w:lang w:val="en-GB"/>
              </w:rPr>
            </w:pPr>
            <w:r w:rsidRPr="004259CB">
              <w:rPr>
                <w:sz w:val="22"/>
                <w:lang w:val="en-GB"/>
              </w:rPr>
              <w:t>The Recording of Aids to Navigation Positions</w:t>
            </w:r>
          </w:p>
        </w:tc>
      </w:tr>
    </w:tbl>
    <w:p w14:paraId="05EE7EB0" w14:textId="77777777" w:rsidR="004259CB" w:rsidRPr="004259CB" w:rsidRDefault="004259CB" w:rsidP="004259CB">
      <w:pPr>
        <w:rPr>
          <w:lang w:val="en-GB"/>
        </w:rPr>
      </w:pPr>
      <w:bookmarkStart w:id="23" w:name="_Toc432687601"/>
      <w:bookmarkEnd w:id="23"/>
    </w:p>
    <w:p w14:paraId="040E162C" w14:textId="24EE813A"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7D719D">
        <w:rPr>
          <w:b/>
        </w:rPr>
        <w:t>should</w:t>
      </w:r>
      <w:r w:rsidRPr="004259CB">
        <w:t xml:space="preserve"> be observed if compliance with this Standard is claimed.</w:t>
      </w:r>
      <w:r w:rsidR="00F87992">
        <w:t xml:space="preserve">  </w:t>
      </w:r>
      <w:r w:rsidR="00F87992" w:rsidRPr="00F87992">
        <w:rPr>
          <w:rFonts w:ascii="Tahoma" w:hAnsi="Tahoma" w:cs="Tahoma"/>
          <w:color w:val="000000"/>
          <w:sz w:val="20"/>
          <w:szCs w:val="20"/>
          <w:highlight w:val="yellow"/>
        </w:rPr>
        <w:t>Offline check to see if there are any other IALA recommendations that should be referenced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bookmarkStart w:id="24" w:name="_GoBack" w:colFirst="3" w:colLast="3"/>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5A69D751" w14:textId="77777777" w:rsidTr="004259CB">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984" w:type="dxa"/>
          </w:tcPr>
          <w:p w14:paraId="2F7004CC" w14:textId="77777777" w:rsidR="004259CB" w:rsidRPr="004259CB" w:rsidRDefault="004259CB" w:rsidP="00BA0EEF">
            <w:pPr>
              <w:spacing w:before="120" w:after="120"/>
              <w:rPr>
                <w:sz w:val="22"/>
                <w:lang w:val="en-GB"/>
              </w:rPr>
            </w:pPr>
            <w:r w:rsidRPr="004259CB">
              <w:rPr>
                <w:sz w:val="22"/>
                <w:lang w:val="en-GB"/>
              </w:rPr>
              <w:t>O-143</w:t>
            </w:r>
          </w:p>
        </w:tc>
        <w:tc>
          <w:tcPr>
            <w:tcW w:w="6237" w:type="dxa"/>
          </w:tcPr>
          <w:p w14:paraId="7774E45E" w14:textId="77777777" w:rsidR="004259CB" w:rsidRPr="004259CB" w:rsidRDefault="004259CB" w:rsidP="00BA0EEF">
            <w:pPr>
              <w:spacing w:before="120" w:after="120"/>
              <w:rPr>
                <w:sz w:val="22"/>
                <w:lang w:val="en-GB"/>
              </w:rPr>
            </w:pPr>
            <w:r w:rsidRPr="004259CB">
              <w:rPr>
                <w:sz w:val="22"/>
                <w:lang w:val="en-GB"/>
              </w:rPr>
              <w:t>Virtual Aids to Navigation</w:t>
            </w:r>
          </w:p>
        </w:tc>
      </w:tr>
      <w:tr w:rsidR="004259CB" w:rsidRPr="004259CB" w14:paraId="660D78A6" w14:textId="77777777" w:rsidTr="004259CB">
        <w:trPr>
          <w:jc w:val="center"/>
        </w:trPr>
        <w:tc>
          <w:tcPr>
            <w:tcW w:w="2526" w:type="dxa"/>
            <w:vMerge w:val="restart"/>
          </w:tcPr>
          <w:p w14:paraId="2976314B" w14:textId="77777777" w:rsidR="004259CB" w:rsidRPr="004259CB" w:rsidRDefault="004259CB" w:rsidP="00BA0EEF">
            <w:pPr>
              <w:spacing w:before="120" w:after="120"/>
              <w:rPr>
                <w:b/>
                <w:sz w:val="22"/>
                <w:lang w:val="en-GB"/>
              </w:rPr>
            </w:pPr>
            <w:r w:rsidRPr="004259CB">
              <w:rPr>
                <w:b/>
                <w:sz w:val="22"/>
                <w:lang w:val="en-GB"/>
              </w:rPr>
              <w:t>Risk management</w:t>
            </w:r>
          </w:p>
        </w:tc>
        <w:tc>
          <w:tcPr>
            <w:tcW w:w="984" w:type="dxa"/>
          </w:tcPr>
          <w:p w14:paraId="364DCF2E" w14:textId="77777777" w:rsidR="004259CB" w:rsidRPr="004259CB" w:rsidRDefault="004259CB" w:rsidP="00BA0EEF">
            <w:pPr>
              <w:spacing w:before="120" w:after="120"/>
              <w:rPr>
                <w:sz w:val="22"/>
                <w:lang w:val="en-GB"/>
              </w:rPr>
            </w:pPr>
            <w:r w:rsidRPr="004259CB">
              <w:rPr>
                <w:sz w:val="22"/>
                <w:lang w:val="en-GB"/>
              </w:rPr>
              <w:t>O-134</w:t>
            </w:r>
          </w:p>
        </w:tc>
        <w:tc>
          <w:tcPr>
            <w:tcW w:w="6237" w:type="dxa"/>
          </w:tcPr>
          <w:p w14:paraId="6211F5BF" w14:textId="77777777" w:rsidR="004259CB" w:rsidRPr="004259CB" w:rsidRDefault="004259CB" w:rsidP="00BA0EEF">
            <w:pPr>
              <w:spacing w:before="120" w:after="120"/>
              <w:rPr>
                <w:sz w:val="22"/>
                <w:lang w:val="en-GB"/>
              </w:rPr>
            </w:pPr>
            <w:r w:rsidRPr="004259CB">
              <w:rPr>
                <w:sz w:val="22"/>
                <w:lang w:val="en-GB"/>
              </w:rPr>
              <w:t>The IALA Risk Management Tool for Ports and Restricted Waterways</w:t>
            </w:r>
          </w:p>
        </w:tc>
      </w:tr>
      <w:tr w:rsidR="004259CB" w:rsidRPr="004259CB" w14:paraId="2690C34D" w14:textId="77777777" w:rsidTr="004259CB">
        <w:trPr>
          <w:jc w:val="center"/>
        </w:trPr>
        <w:tc>
          <w:tcPr>
            <w:tcW w:w="2526" w:type="dxa"/>
            <w:vMerge/>
          </w:tcPr>
          <w:p w14:paraId="2DDA7776" w14:textId="77777777" w:rsidR="004259CB" w:rsidRPr="004259CB" w:rsidRDefault="004259CB" w:rsidP="00BA0EEF">
            <w:pPr>
              <w:spacing w:before="120" w:after="120"/>
              <w:rPr>
                <w:b/>
                <w:sz w:val="22"/>
                <w:lang w:val="en-GB"/>
              </w:rPr>
            </w:pPr>
          </w:p>
        </w:tc>
        <w:tc>
          <w:tcPr>
            <w:tcW w:w="984" w:type="dxa"/>
          </w:tcPr>
          <w:p w14:paraId="3125A6B6" w14:textId="77777777" w:rsidR="004259CB" w:rsidRPr="004259CB" w:rsidRDefault="004259CB" w:rsidP="00BA0EEF">
            <w:pPr>
              <w:spacing w:before="120" w:after="120"/>
              <w:rPr>
                <w:sz w:val="22"/>
                <w:lang w:val="en-GB"/>
              </w:rPr>
            </w:pPr>
            <w:r w:rsidRPr="004259CB">
              <w:rPr>
                <w:sz w:val="22"/>
                <w:lang w:val="en-GB"/>
              </w:rPr>
              <w:t>O-138</w:t>
            </w:r>
          </w:p>
        </w:tc>
        <w:tc>
          <w:tcPr>
            <w:tcW w:w="6237" w:type="dxa"/>
          </w:tcPr>
          <w:p w14:paraId="0C795A7A" w14:textId="77777777" w:rsidR="004259CB" w:rsidRPr="004259CB" w:rsidRDefault="004259CB" w:rsidP="00BA0EEF">
            <w:pPr>
              <w:spacing w:before="120" w:after="120"/>
              <w:rPr>
                <w:sz w:val="22"/>
                <w:lang w:val="en-GB"/>
              </w:rPr>
            </w:pPr>
            <w:r w:rsidRPr="004259CB">
              <w:rPr>
                <w:sz w:val="22"/>
                <w:lang w:val="en-GB"/>
              </w:rPr>
              <w:t>The Use of GIS and Simulation by Aids to Navigation Authorities</w:t>
            </w:r>
          </w:p>
        </w:tc>
      </w:tr>
      <w:bookmarkEnd w:id="24"/>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25" w:name="_Toc464136443"/>
      <w:bookmarkStart w:id="26" w:name="_Toc464139609"/>
      <w:r w:rsidRPr="004259CB">
        <w:rPr>
          <w:caps w:val="0"/>
        </w:rPr>
        <w:t>SUPPLEMENTARY ELEMENTS</w:t>
      </w:r>
      <w:bookmarkEnd w:id="25"/>
      <w:bookmarkEnd w:id="26"/>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0625503" w14:textId="77777777" w:rsidR="007D719D" w:rsidRDefault="007D719D">
      <w:pPr>
        <w:spacing w:after="200" w:line="276" w:lineRule="auto"/>
        <w:rPr>
          <w:rFonts w:asciiTheme="majorHAnsi" w:eastAsiaTheme="majorEastAsia" w:hAnsiTheme="majorHAnsi" w:cstheme="majorBidi"/>
          <w:b/>
          <w:bCs/>
          <w:color w:val="00558C"/>
          <w:sz w:val="28"/>
          <w:szCs w:val="24"/>
          <w:lang w:val="en-GB"/>
        </w:rPr>
      </w:pPr>
      <w:bookmarkStart w:id="27" w:name="_Toc464033448"/>
      <w:bookmarkStart w:id="28" w:name="_Toc464136444"/>
      <w:bookmarkStart w:id="29" w:name="_Toc464139610"/>
      <w:r>
        <w:rPr>
          <w:caps/>
        </w:rPr>
        <w:br w:type="page"/>
      </w:r>
    </w:p>
    <w:p w14:paraId="54692D7F" w14:textId="51C6BD8B" w:rsidR="004259CB" w:rsidRPr="004259CB" w:rsidRDefault="004259CB" w:rsidP="004259CB">
      <w:pPr>
        <w:pStyle w:val="Heading1"/>
        <w:tabs>
          <w:tab w:val="clear" w:pos="0"/>
        </w:tabs>
        <w:spacing w:before="0"/>
        <w:ind w:left="0" w:firstLine="0"/>
        <w:rPr>
          <w:caps w:val="0"/>
        </w:rPr>
      </w:pPr>
      <w:r w:rsidRPr="004259CB">
        <w:rPr>
          <w:caps w:val="0"/>
        </w:rPr>
        <w:lastRenderedPageBreak/>
        <w:t>ADOPTION OF AND AMENDMENT OF STANDARDS</w:t>
      </w:r>
      <w:bookmarkEnd w:id="27"/>
      <w:bookmarkEnd w:id="28"/>
      <w:bookmarkEnd w:id="29"/>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30" w:name="_Toc464033449"/>
      <w:bookmarkStart w:id="31" w:name="_Toc455589152"/>
      <w:bookmarkStart w:id="32" w:name="_Toc455589153"/>
      <w:bookmarkStart w:id="33" w:name="_Toc455589154"/>
      <w:bookmarkStart w:id="34" w:name="_Toc455589155"/>
      <w:bookmarkStart w:id="35" w:name="_Toc455589156"/>
      <w:bookmarkStart w:id="36" w:name="_Toc455589157"/>
      <w:bookmarkStart w:id="37" w:name="_Toc455589158"/>
      <w:bookmarkStart w:id="38" w:name="_Toc455589159"/>
      <w:bookmarkStart w:id="39" w:name="_Toc455589160"/>
      <w:bookmarkStart w:id="40" w:name="_Toc455589161"/>
      <w:bookmarkStart w:id="41" w:name="_Toc455589162"/>
      <w:bookmarkStart w:id="42" w:name="_Toc455589163"/>
      <w:bookmarkStart w:id="43" w:name="_Toc455589164"/>
      <w:bookmarkStart w:id="44" w:name="_Toc455589165"/>
      <w:bookmarkStart w:id="45" w:name="_Toc455589166"/>
      <w:bookmarkStart w:id="46" w:name="_Toc455589167"/>
      <w:bookmarkStart w:id="47" w:name="_Toc455589168"/>
      <w:bookmarkStart w:id="48" w:name="_Toc455589169"/>
      <w:bookmarkStart w:id="49" w:name="_Toc455589170"/>
      <w:bookmarkStart w:id="50" w:name="_Toc455589171"/>
      <w:bookmarkStart w:id="51" w:name="_Toc464033450"/>
      <w:bookmarkStart w:id="52" w:name="_Toc464033451"/>
      <w:bookmarkStart w:id="53" w:name="_Toc432687611"/>
      <w:bookmarkStart w:id="54" w:name="_Toc464033452"/>
      <w:bookmarkStart w:id="55" w:name="_Toc464136445"/>
      <w:bookmarkStart w:id="56" w:name="_Toc46413961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259CB">
        <w:rPr>
          <w:caps w:val="0"/>
        </w:rPr>
        <w:t>DOCUMENT HISTORY</w:t>
      </w:r>
      <w:bookmarkEnd w:id="53"/>
      <w:bookmarkEnd w:id="54"/>
      <w:bookmarkEnd w:id="55"/>
      <w:bookmarkEnd w:id="56"/>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77777777" w:rsidR="004259CB" w:rsidRPr="00BA0733" w:rsidRDefault="004259CB" w:rsidP="00BA0733">
            <w:pPr>
              <w:spacing w:before="120" w:after="120"/>
              <w:rPr>
                <w:sz w:val="22"/>
                <w:lang w:val="en-GB"/>
              </w:rPr>
            </w:pPr>
            <w:r w:rsidRPr="00BA0733">
              <w:rPr>
                <w:sz w:val="22"/>
                <w:lang w:val="en-GB"/>
              </w:rPr>
              <w:t>General Assembly Resolution, Incheon, Korea, May 2018.</w:t>
            </w:r>
          </w:p>
        </w:tc>
      </w:tr>
    </w:tbl>
    <w:p w14:paraId="5D2874E0" w14:textId="77777777" w:rsidR="00AB326D" w:rsidRPr="004259CB" w:rsidRDefault="00AB326D" w:rsidP="004259CB">
      <w:pPr>
        <w:pStyle w:val="BodyText"/>
      </w:pPr>
    </w:p>
    <w:sectPr w:rsidR="00AB326D" w:rsidRPr="004259CB" w:rsidSect="00480184">
      <w:headerReference w:type="even" r:id="rId16"/>
      <w:headerReference w:type="default" r:id="rId17"/>
      <w:headerReference w:type="first" r:id="rId18"/>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7D6AC" w14:textId="77777777" w:rsidR="00877C5F" w:rsidRDefault="00877C5F" w:rsidP="003274DB">
      <w:r>
        <w:separator/>
      </w:r>
    </w:p>
  </w:endnote>
  <w:endnote w:type="continuationSeparator" w:id="0">
    <w:p w14:paraId="752A80D7" w14:textId="77777777" w:rsidR="00877C5F" w:rsidRDefault="00877C5F"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260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414F28"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6788125B">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543EF8" w:rsidP="00CB19DB">
    <w:pPr>
      <w:pStyle w:val="Footerportrait"/>
      <w:rPr>
        <w:rStyle w:val="PageNumber"/>
        <w:szCs w:val="15"/>
      </w:rPr>
    </w:pPr>
    <w:r>
      <w:fldChar w:fldCharType="begin"/>
    </w:r>
    <w:r>
      <w:instrText xml:space="preserve"> STYLEREF "Document type" \* MERGEFORMAT </w:instrText>
    </w:r>
    <w:r>
      <w:fldChar w:fldCharType="separate"/>
    </w:r>
    <w:r w:rsidR="00F87992">
      <w:t>IALA Standard</w:t>
    </w:r>
    <w:r>
      <w:fldChar w:fldCharType="end"/>
    </w:r>
    <w:r w:rsidR="00857580" w:rsidRPr="00C907DF">
      <w:t xml:space="preserve"> </w:t>
    </w:r>
    <w:r>
      <w:fldChar w:fldCharType="begin"/>
    </w:r>
    <w:r>
      <w:instrText xml:space="preserve"> STYLEREF "Document number" \* MERGEFORMAT </w:instrText>
    </w:r>
    <w:r>
      <w:fldChar w:fldCharType="separate"/>
    </w:r>
    <w:r w:rsidR="00F87992">
      <w:t>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F87992">
      <w:t>Aids to Navigation Planning &amp; Service Requirements</w:t>
    </w:r>
    <w:r>
      <w:fldChar w:fldCharType="end"/>
    </w:r>
  </w:p>
  <w:p w14:paraId="19BC5EB7" w14:textId="1902E40F" w:rsidR="00857580" w:rsidRPr="00CB19DB" w:rsidRDefault="00543EF8" w:rsidP="00CB19DB">
    <w:pPr>
      <w:pStyle w:val="Footerportrait"/>
    </w:pPr>
    <w:r>
      <w:fldChar w:fldCharType="begin"/>
    </w:r>
    <w:r>
      <w:instrText xml:space="preserve"> STYLEREF "Edition number" \* MERGEFORMAT </w:instrText>
    </w:r>
    <w:r>
      <w:fldChar w:fldCharType="separate"/>
    </w:r>
    <w:r w:rsidR="00F87992">
      <w:t>Edition 1.0</w:t>
    </w:r>
    <w:r>
      <w:fldChar w:fldCharType="end"/>
    </w:r>
    <w:r w:rsidR="00857580">
      <w:t xml:space="preserve">  </w:t>
    </w:r>
    <w:r>
      <w:fldChar w:fldCharType="begin"/>
    </w:r>
    <w:r>
      <w:instrText xml:space="preserve"> STYLEREF "Document date" \* MERGEFORMAT </w:instrText>
    </w:r>
    <w:r>
      <w:fldChar w:fldCharType="separate"/>
    </w:r>
    <w:r w:rsidR="00F87992">
      <w:t>June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F87992">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47764" w14:textId="77777777" w:rsidR="00877C5F" w:rsidRDefault="00877C5F" w:rsidP="003274DB">
      <w:r>
        <w:separator/>
      </w:r>
    </w:p>
  </w:footnote>
  <w:footnote w:type="continuationSeparator" w:id="0">
    <w:p w14:paraId="3F75797E" w14:textId="77777777" w:rsidR="00877C5F" w:rsidRDefault="00877C5F"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E9257" w14:textId="644F6E12" w:rsidR="007D719D" w:rsidRDefault="00543EF8">
    <w:pPr>
      <w:pStyle w:val="Header"/>
    </w:pPr>
    <w:r>
      <w:rPr>
        <w:noProof/>
      </w:rPr>
      <w:pict w14:anchorId="5ECFC8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2"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028E7" w14:textId="4260188E" w:rsidR="00857580" w:rsidRPr="00ED2A8D" w:rsidRDefault="00543EF8" w:rsidP="007D719D">
    <w:pPr>
      <w:pStyle w:val="Header"/>
      <w:ind w:left="2127"/>
      <w:jc w:val="right"/>
      <w:rPr>
        <w:lang w:val="en-GB"/>
      </w:rPr>
    </w:pPr>
    <w:r>
      <w:rPr>
        <w:noProof/>
      </w:rPr>
      <w:pict w14:anchorId="52BC7C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3"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GB" w:eastAsia="en-GB"/>
      </w:rPr>
      <w:drawing>
        <wp:anchor distT="0" distB="0" distL="114300" distR="114300" simplePos="0" relativeHeight="25165056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D719D">
      <w:rPr>
        <w:sz w:val="22"/>
        <w:lang w:val="en-GB"/>
      </w:rPr>
      <w:t>C</w:t>
    </w:r>
    <w:r w:rsidR="005F2642">
      <w:rPr>
        <w:sz w:val="22"/>
        <w:lang w:val="en-GB"/>
      </w:rPr>
      <w:t>63-8.4</w:t>
    </w:r>
    <w:r w:rsidR="007D719D">
      <w:rPr>
        <w:sz w:val="22"/>
        <w:lang w:val="en-GB"/>
      </w:rPr>
      <w:t>.1.1</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53632"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731697" w14:textId="09C9F2CA" w:rsidR="007D719D" w:rsidRDefault="00543EF8">
    <w:pPr>
      <w:pStyle w:val="Header"/>
    </w:pPr>
    <w:r>
      <w:rPr>
        <w:noProof/>
      </w:rPr>
      <w:pict w14:anchorId="326FE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1"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DA59" w14:textId="4363517A" w:rsidR="007D719D" w:rsidRDefault="00543EF8">
    <w:pPr>
      <w:pStyle w:val="Header"/>
    </w:pPr>
    <w:r>
      <w:rPr>
        <w:noProof/>
      </w:rPr>
      <w:pict w14:anchorId="5B396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5"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6AF37A07" w:rsidR="00857580" w:rsidRPr="00ED2A8D" w:rsidRDefault="00543EF8" w:rsidP="007D719D">
    <w:pPr>
      <w:pStyle w:val="Header"/>
      <w:tabs>
        <w:tab w:val="right" w:pos="9781"/>
      </w:tabs>
      <w:ind w:right="140"/>
      <w:jc w:val="right"/>
      <w:rPr>
        <w:lang w:val="en-GB"/>
      </w:rPr>
    </w:pPr>
    <w:r>
      <w:rPr>
        <w:noProof/>
      </w:rPr>
      <w:pict w14:anchorId="718561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6" o:spid="_x0000_s2056" type="#_x0000_t136" style="position:absolute;left:0;text-align:left;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622BD764" wp14:editId="6A352B1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r w:rsidR="005F2642">
      <w:rPr>
        <w:lang w:val="en-GB"/>
      </w:rPr>
      <w:t>C63-8.4</w:t>
    </w:r>
    <w:r w:rsidR="007D719D">
      <w:rPr>
        <w:lang w:val="en-GB"/>
      </w:rPr>
      <w:t xml:space="preserve">.1.1 </w:t>
    </w:r>
  </w:p>
  <w:p w14:paraId="13D07D85" w14:textId="77777777" w:rsidR="00857580" w:rsidRPr="00ED2A8D" w:rsidRDefault="00857580" w:rsidP="008747E0">
    <w:pPr>
      <w:pStyle w:val="Header"/>
      <w:rPr>
        <w:lang w:val="en-GB"/>
      </w:rPr>
    </w:pP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7FA3F" w14:textId="3485508E" w:rsidR="007D719D" w:rsidRDefault="00543EF8">
    <w:pPr>
      <w:pStyle w:val="Header"/>
    </w:pPr>
    <w:r>
      <w:rPr>
        <w:noProof/>
      </w:rPr>
      <w:pict w14:anchorId="0EC4F2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4"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E51EF9" w14:textId="6197D5CB" w:rsidR="007D719D" w:rsidRDefault="00543EF8">
    <w:pPr>
      <w:pStyle w:val="Header"/>
    </w:pPr>
    <w:r>
      <w:rPr>
        <w:noProof/>
      </w:rPr>
      <w:pict w14:anchorId="3E691D5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8"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43DD7FDF" w:rsidR="00857580" w:rsidRPr="00AB623C" w:rsidRDefault="00543EF8" w:rsidP="007D719D">
    <w:pPr>
      <w:pStyle w:val="Header"/>
      <w:jc w:val="right"/>
      <w:rPr>
        <w:lang w:val="en-GB"/>
      </w:rPr>
    </w:pPr>
    <w:r>
      <w:rPr>
        <w:noProof/>
      </w:rPr>
      <w:pict w14:anchorId="50EAFA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9"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4656" behindDoc="1" locked="0" layoutInCell="1" allowOverlap="1" wp14:anchorId="7265616B" wp14:editId="14C2D8C4">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C</w:t>
    </w:r>
    <w:r w:rsidR="005F2642">
      <w:rPr>
        <w:lang w:val="en-GB"/>
      </w:rPr>
      <w:t>63-8.4</w:t>
    </w:r>
    <w:r w:rsidR="007D719D">
      <w:rPr>
        <w:lang w:val="en-GB"/>
      </w:rPr>
      <w:t>.1.1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A0F70" w14:textId="637F7679" w:rsidR="007D719D" w:rsidRDefault="00543EF8">
    <w:pPr>
      <w:pStyle w:val="Header"/>
    </w:pPr>
    <w:r>
      <w:rPr>
        <w:noProof/>
      </w:rPr>
      <w:pict w14:anchorId="56610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7765177"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98"/>
    <w:rsid w:val="00084FFC"/>
    <w:rsid w:val="000C711B"/>
    <w:rsid w:val="000D4C23"/>
    <w:rsid w:val="000E5B53"/>
    <w:rsid w:val="001349DB"/>
    <w:rsid w:val="00192FEB"/>
    <w:rsid w:val="001B1140"/>
    <w:rsid w:val="001C3592"/>
    <w:rsid w:val="001E416D"/>
    <w:rsid w:val="00203BE2"/>
    <w:rsid w:val="002204DA"/>
    <w:rsid w:val="00265AFA"/>
    <w:rsid w:val="0027175D"/>
    <w:rsid w:val="002B6679"/>
    <w:rsid w:val="00304DD8"/>
    <w:rsid w:val="003274DB"/>
    <w:rsid w:val="00335806"/>
    <w:rsid w:val="003476DC"/>
    <w:rsid w:val="003500F2"/>
    <w:rsid w:val="00366678"/>
    <w:rsid w:val="003C7C34"/>
    <w:rsid w:val="004028D6"/>
    <w:rsid w:val="00406B02"/>
    <w:rsid w:val="004259CB"/>
    <w:rsid w:val="00434EE8"/>
    <w:rsid w:val="00441393"/>
    <w:rsid w:val="00456F10"/>
    <w:rsid w:val="00480184"/>
    <w:rsid w:val="00496E8D"/>
    <w:rsid w:val="004C7C5C"/>
    <w:rsid w:val="004E2F16"/>
    <w:rsid w:val="004F335D"/>
    <w:rsid w:val="004F505B"/>
    <w:rsid w:val="00526234"/>
    <w:rsid w:val="0053726A"/>
    <w:rsid w:val="00556CF6"/>
    <w:rsid w:val="005B7365"/>
    <w:rsid w:val="005F2642"/>
    <w:rsid w:val="006127AC"/>
    <w:rsid w:val="00666061"/>
    <w:rsid w:val="00680F99"/>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D719D"/>
    <w:rsid w:val="007E30DF"/>
    <w:rsid w:val="007E46D5"/>
    <w:rsid w:val="007F7033"/>
    <w:rsid w:val="007F7544"/>
    <w:rsid w:val="008431CF"/>
    <w:rsid w:val="00857580"/>
    <w:rsid w:val="008747E0"/>
    <w:rsid w:val="00877C5F"/>
    <w:rsid w:val="009210BC"/>
    <w:rsid w:val="009330EF"/>
    <w:rsid w:val="009414E6"/>
    <w:rsid w:val="00971591"/>
    <w:rsid w:val="00974E99"/>
    <w:rsid w:val="009764FA"/>
    <w:rsid w:val="00980192"/>
    <w:rsid w:val="009B3B25"/>
    <w:rsid w:val="009C79E3"/>
    <w:rsid w:val="009E16EC"/>
    <w:rsid w:val="009E79A1"/>
    <w:rsid w:val="00A1776A"/>
    <w:rsid w:val="00A549B3"/>
    <w:rsid w:val="00AA70F6"/>
    <w:rsid w:val="00AB326D"/>
    <w:rsid w:val="00AB623C"/>
    <w:rsid w:val="00AB73F4"/>
    <w:rsid w:val="00AC33A2"/>
    <w:rsid w:val="00AF159C"/>
    <w:rsid w:val="00B02CC1"/>
    <w:rsid w:val="00B31A41"/>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7D51"/>
    <w:rsid w:val="00D70AFE"/>
    <w:rsid w:val="00D74AE1"/>
    <w:rsid w:val="00DC7E67"/>
    <w:rsid w:val="00DD6C18"/>
    <w:rsid w:val="00DF1669"/>
    <w:rsid w:val="00E175A0"/>
    <w:rsid w:val="00E234E9"/>
    <w:rsid w:val="00E24B2E"/>
    <w:rsid w:val="00E270C5"/>
    <w:rsid w:val="00E317B0"/>
    <w:rsid w:val="00E67984"/>
    <w:rsid w:val="00E72A28"/>
    <w:rsid w:val="00E72B8D"/>
    <w:rsid w:val="00EB6F3C"/>
    <w:rsid w:val="00EC4025"/>
    <w:rsid w:val="00ED2A8D"/>
    <w:rsid w:val="00EE1297"/>
    <w:rsid w:val="00EF404B"/>
    <w:rsid w:val="00F00376"/>
    <w:rsid w:val="00F11A7D"/>
    <w:rsid w:val="00F14214"/>
    <w:rsid w:val="00F157E2"/>
    <w:rsid w:val="00F41515"/>
    <w:rsid w:val="00F85EC1"/>
    <w:rsid w:val="00F87992"/>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F5E06958-6098-4A71-8F5C-A5E1FAF4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CDA3C-EF51-4270-B3F7-D46AB6D81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870</Words>
  <Characters>4964</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Wayne Quinn</cp:lastModifiedBy>
  <cp:revision>2</cp:revision>
  <dcterms:created xsi:type="dcterms:W3CDTF">2017-03-16T15:06:00Z</dcterms:created>
  <dcterms:modified xsi:type="dcterms:W3CDTF">2017-03-16T15:06:00Z</dcterms:modified>
</cp:coreProperties>
</file>